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11" w:rsidRDefault="00A44D11"/>
    <w:p w:rsidR="00BD7C30" w:rsidRPr="00924DED" w:rsidRDefault="00BD7C30" w:rsidP="00BD7C30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kern w:val="16"/>
          <w:sz w:val="28"/>
          <w:szCs w:val="28"/>
        </w:rPr>
        <w:t>Памятки</w:t>
      </w:r>
      <w:r w:rsidRPr="00DC4445">
        <w:rPr>
          <w:b/>
          <w:bCs/>
          <w:kern w:val="16"/>
          <w:sz w:val="28"/>
          <w:szCs w:val="28"/>
        </w:rPr>
        <w:t xml:space="preserve"> по профилактике туберкулеза</w:t>
      </w:r>
      <w:r>
        <w:rPr>
          <w:b/>
          <w:bCs/>
          <w:kern w:val="16"/>
          <w:sz w:val="28"/>
          <w:szCs w:val="28"/>
        </w:rPr>
        <w:t>.</w:t>
      </w:r>
      <w:r w:rsidRPr="000E5B54">
        <w:rPr>
          <w:b/>
          <w:sz w:val="28"/>
          <w:szCs w:val="28"/>
        </w:rPr>
        <w:t xml:space="preserve"> </w:t>
      </w:r>
      <w:r w:rsidRPr="00924DED">
        <w:rPr>
          <w:b/>
          <w:sz w:val="28"/>
          <w:szCs w:val="28"/>
        </w:rPr>
        <w:t>Вовремя привейте ваших детей от туберкулеза!</w:t>
      </w:r>
    </w:p>
    <w:p w:rsidR="00BD7C30" w:rsidRPr="00924DED" w:rsidRDefault="00BD7C30" w:rsidP="00BD7C30">
      <w:pPr>
        <w:ind w:firstLine="709"/>
        <w:jc w:val="both"/>
        <w:rPr>
          <w:b/>
          <w:sz w:val="28"/>
          <w:szCs w:val="28"/>
        </w:rPr>
      </w:pPr>
    </w:p>
    <w:p w:rsidR="00BD7C30" w:rsidRPr="00B75217" w:rsidRDefault="00BD7C30" w:rsidP="00BD7C30">
      <w:pPr>
        <w:ind w:firstLine="709"/>
        <w:jc w:val="both"/>
        <w:rPr>
          <w:sz w:val="28"/>
          <w:szCs w:val="28"/>
        </w:rPr>
      </w:pPr>
      <w:r w:rsidRPr="00B75217">
        <w:rPr>
          <w:b/>
          <w:sz w:val="28"/>
          <w:szCs w:val="28"/>
        </w:rPr>
        <w:t xml:space="preserve">Туберкулез </w:t>
      </w:r>
      <w:r w:rsidRPr="00B75217">
        <w:rPr>
          <w:sz w:val="28"/>
          <w:szCs w:val="28"/>
        </w:rPr>
        <w:t>известен с древних времен, но он не исчез, а ищет новые жертвы. Этой жертвой не должны стать дети!</w:t>
      </w:r>
    </w:p>
    <w:p w:rsidR="00BD7C30" w:rsidRPr="00B75217" w:rsidRDefault="00BD7C30" w:rsidP="00BD7C30">
      <w:pPr>
        <w:ind w:firstLine="709"/>
        <w:jc w:val="both"/>
        <w:rPr>
          <w:sz w:val="28"/>
          <w:szCs w:val="28"/>
        </w:rPr>
      </w:pPr>
      <w:r w:rsidRPr="00B75217">
        <w:rPr>
          <w:sz w:val="28"/>
          <w:szCs w:val="28"/>
        </w:rPr>
        <w:t>Туберкулез относится к инфекционным заболевания</w:t>
      </w:r>
      <w:r>
        <w:rPr>
          <w:sz w:val="28"/>
          <w:szCs w:val="28"/>
        </w:rPr>
        <w:t>м</w:t>
      </w:r>
      <w:r w:rsidRPr="00B75217">
        <w:rPr>
          <w:sz w:val="28"/>
          <w:szCs w:val="28"/>
        </w:rPr>
        <w:t xml:space="preserve">, вызывается микобактерией туберкулеза (палочкой Коха). Туберкулёз чаще поражает органы дыхания. Но встречаются и </w:t>
      </w:r>
      <w:proofErr w:type="spellStart"/>
      <w:r w:rsidRPr="00B75217">
        <w:rPr>
          <w:sz w:val="28"/>
          <w:szCs w:val="28"/>
        </w:rPr>
        <w:t>внелегочные</w:t>
      </w:r>
      <w:proofErr w:type="spellEnd"/>
      <w:r w:rsidRPr="00B75217">
        <w:rPr>
          <w:sz w:val="28"/>
          <w:szCs w:val="28"/>
        </w:rPr>
        <w:t xml:space="preserve"> формы туберкулеза. </w:t>
      </w:r>
      <w:proofErr w:type="gramStart"/>
      <w:r w:rsidRPr="00B75217">
        <w:rPr>
          <w:sz w:val="28"/>
          <w:szCs w:val="28"/>
        </w:rPr>
        <w:t>Могут поражаться: кожа, лимфатические узлы, кости, почки, глаза, органы брюшной полости, центральная нервная система и т.д.</w:t>
      </w:r>
      <w:proofErr w:type="gramEnd"/>
    </w:p>
    <w:p w:rsidR="00BD7C30" w:rsidRPr="00B75217" w:rsidRDefault="00BD7C30" w:rsidP="00BD7C30">
      <w:pPr>
        <w:ind w:firstLine="709"/>
        <w:jc w:val="both"/>
        <w:rPr>
          <w:sz w:val="28"/>
          <w:szCs w:val="28"/>
        </w:rPr>
      </w:pPr>
      <w:r w:rsidRPr="00B75217">
        <w:rPr>
          <w:sz w:val="28"/>
          <w:szCs w:val="28"/>
        </w:rPr>
        <w:t xml:space="preserve">Заразиться туберкулезом можно от больного воздушно-капельным путем (при разговоре, чихании, кашле); при соприкосновении с вещами или предметами, загрязненными мокротой, слюной, содержащими возбудителя туберкулеза, т.к. палочка Коха длительно сохраняет свою активность во внешней среде. В жидкой мокроте туберкулезная палочка сохраняет свою активность в течение 5-6 месяцев, даже в высушенном состоянии на различных предметах, белье, книгах и т.д. она в течение ряда месяцев может сохранять свои свойства и, попадая в благоприятные условия существования, способна вызывать заражение. </w:t>
      </w:r>
    </w:p>
    <w:p w:rsidR="00BD7C30" w:rsidRPr="00B75217" w:rsidRDefault="00BD7C30" w:rsidP="00BD7C30">
      <w:pPr>
        <w:ind w:firstLine="709"/>
        <w:jc w:val="both"/>
        <w:rPr>
          <w:sz w:val="28"/>
          <w:szCs w:val="28"/>
        </w:rPr>
      </w:pPr>
      <w:r w:rsidRPr="00B75217">
        <w:rPr>
          <w:sz w:val="28"/>
          <w:szCs w:val="28"/>
        </w:rPr>
        <w:t>В распространении инфекции могут представлять опасность животные (крупный рогатый скот), больные туберкулезом. Заражение происходит при приеме в пищу, чаще всего, молочных продуктов, не подвергшихся термической обработке.</w:t>
      </w:r>
    </w:p>
    <w:p w:rsidR="00BD7C30" w:rsidRPr="00B75217" w:rsidRDefault="00BD7C30" w:rsidP="00BD7C30">
      <w:pPr>
        <w:ind w:firstLine="709"/>
        <w:jc w:val="both"/>
        <w:rPr>
          <w:sz w:val="28"/>
          <w:szCs w:val="28"/>
        </w:rPr>
      </w:pPr>
      <w:r w:rsidRPr="00B75217">
        <w:rPr>
          <w:sz w:val="28"/>
          <w:szCs w:val="28"/>
        </w:rPr>
        <w:t xml:space="preserve">Как уберечь ребенка от туберкулеза? </w:t>
      </w:r>
    </w:p>
    <w:p w:rsidR="00BD7C30" w:rsidRPr="00B75217" w:rsidRDefault="00BD7C30" w:rsidP="00BD7C30">
      <w:pPr>
        <w:ind w:firstLine="709"/>
        <w:jc w:val="both"/>
        <w:rPr>
          <w:sz w:val="28"/>
          <w:szCs w:val="28"/>
        </w:rPr>
      </w:pPr>
      <w:r w:rsidRPr="00B75217">
        <w:rPr>
          <w:sz w:val="28"/>
          <w:szCs w:val="28"/>
        </w:rPr>
        <w:t xml:space="preserve">Основное профилактическое средство от туберкулеза – прививка вакциной БЦЖ. Дети, привитые от туберкулёза, болеют в 15 раз реже и значительно легче, чем </w:t>
      </w:r>
      <w:proofErr w:type="spellStart"/>
      <w:r w:rsidRPr="00B75217">
        <w:rPr>
          <w:sz w:val="28"/>
          <w:szCs w:val="28"/>
        </w:rPr>
        <w:t>непривитые</w:t>
      </w:r>
      <w:proofErr w:type="spellEnd"/>
      <w:r w:rsidRPr="00B75217">
        <w:rPr>
          <w:sz w:val="28"/>
          <w:szCs w:val="28"/>
        </w:rPr>
        <w:t>. Прививка защищает ребенка, прежде всего, от туберкулезного менингита и тяжелых распространенных форм болезни.</w:t>
      </w:r>
    </w:p>
    <w:p w:rsidR="00BD7C30" w:rsidRPr="00B75217" w:rsidRDefault="00BD7C30" w:rsidP="00BD7C30">
      <w:pPr>
        <w:ind w:firstLine="709"/>
        <w:jc w:val="both"/>
        <w:rPr>
          <w:sz w:val="28"/>
          <w:szCs w:val="28"/>
        </w:rPr>
      </w:pPr>
      <w:r w:rsidRPr="00B75217">
        <w:rPr>
          <w:sz w:val="28"/>
          <w:szCs w:val="28"/>
        </w:rPr>
        <w:t>Прививка от туберкулеза проводится на 3-7 день жизни ребенка в роддоме при отсутствии медицинских противопоказаний.</w:t>
      </w:r>
    </w:p>
    <w:p w:rsidR="00BD7C30" w:rsidRPr="00B75217" w:rsidRDefault="00BD7C30" w:rsidP="00BD7C30">
      <w:pPr>
        <w:ind w:firstLine="709"/>
        <w:jc w:val="both"/>
        <w:rPr>
          <w:sz w:val="28"/>
          <w:szCs w:val="28"/>
        </w:rPr>
      </w:pPr>
      <w:r w:rsidRPr="00B75217">
        <w:rPr>
          <w:sz w:val="28"/>
          <w:szCs w:val="28"/>
        </w:rPr>
        <w:t>Иммунитет вырабатывается не ранее, чем через 2 месяца после прививки, поэтому, если возможен контакт с больным туберкулезом по месту жительства, то на этот срок ребенка и маму необходимо изолировать от больного в отдельном помещении.</w:t>
      </w:r>
    </w:p>
    <w:p w:rsidR="00BD7C30" w:rsidRPr="00B75217" w:rsidRDefault="00BD7C30" w:rsidP="00BD7C30">
      <w:pPr>
        <w:ind w:firstLine="709"/>
        <w:jc w:val="both"/>
        <w:rPr>
          <w:sz w:val="28"/>
          <w:szCs w:val="28"/>
        </w:rPr>
      </w:pPr>
      <w:r w:rsidRPr="00B75217">
        <w:rPr>
          <w:sz w:val="28"/>
          <w:szCs w:val="28"/>
        </w:rPr>
        <w:t xml:space="preserve">Если ребенок не был привит в роддоме, прививка проводится в поликлинике после снятия противопоказаний. </w:t>
      </w:r>
    </w:p>
    <w:p w:rsidR="00BD7C30" w:rsidRPr="00B75217" w:rsidRDefault="00BD7C30" w:rsidP="00BD7C30">
      <w:pPr>
        <w:ind w:firstLine="709"/>
        <w:jc w:val="both"/>
        <w:rPr>
          <w:sz w:val="28"/>
          <w:szCs w:val="28"/>
        </w:rPr>
      </w:pPr>
      <w:r w:rsidRPr="00B75217">
        <w:rPr>
          <w:sz w:val="28"/>
          <w:szCs w:val="28"/>
        </w:rPr>
        <w:t xml:space="preserve">До прививки и на период выработки иммунитета (2 месяца) необходимо ограничивать круг взрослых, общающихся с ребенком, и провести их обследование на туберкулез (сделать флюорографию). </w:t>
      </w:r>
    </w:p>
    <w:p w:rsidR="00BD7C30" w:rsidRPr="00B75217" w:rsidRDefault="00BD7C30" w:rsidP="00BD7C30">
      <w:pPr>
        <w:ind w:firstLine="709"/>
        <w:jc w:val="both"/>
        <w:rPr>
          <w:sz w:val="28"/>
          <w:szCs w:val="28"/>
        </w:rPr>
      </w:pPr>
      <w:r w:rsidRPr="00B75217">
        <w:rPr>
          <w:sz w:val="28"/>
          <w:szCs w:val="28"/>
        </w:rPr>
        <w:t xml:space="preserve">У большей части детей иммунитет сохраняется в течение 5-7 лет, поэтому в возрасте 7 </w:t>
      </w:r>
      <w:r>
        <w:rPr>
          <w:sz w:val="28"/>
          <w:szCs w:val="28"/>
        </w:rPr>
        <w:t xml:space="preserve">лет </w:t>
      </w:r>
      <w:r w:rsidRPr="00B75217">
        <w:rPr>
          <w:sz w:val="28"/>
          <w:szCs w:val="28"/>
        </w:rPr>
        <w:t>детям с отрицательной реакцией Манту проводят прививку повторно.</w:t>
      </w:r>
    </w:p>
    <w:p w:rsidR="00BD7C30" w:rsidRPr="00924DED" w:rsidRDefault="00BD7C30" w:rsidP="00BD7C30">
      <w:pPr>
        <w:ind w:firstLine="709"/>
        <w:jc w:val="center"/>
        <w:rPr>
          <w:b/>
          <w:sz w:val="28"/>
          <w:szCs w:val="28"/>
        </w:rPr>
      </w:pPr>
      <w:r w:rsidRPr="00924DED">
        <w:rPr>
          <w:b/>
          <w:sz w:val="28"/>
          <w:szCs w:val="28"/>
        </w:rPr>
        <w:t>Здоровье ваших детей в ваших руках!</w:t>
      </w:r>
    </w:p>
    <w:p w:rsidR="00BD7C30" w:rsidRPr="001964DE" w:rsidRDefault="00BD7C30" w:rsidP="00BD7C30">
      <w:pPr>
        <w:pStyle w:val="2"/>
        <w:widowControl w:val="0"/>
        <w:spacing w:after="0" w:line="240" w:lineRule="auto"/>
        <w:ind w:left="0" w:firstLine="720"/>
        <w:jc w:val="right"/>
        <w:rPr>
          <w:bCs/>
          <w:kern w:val="16"/>
        </w:rPr>
      </w:pPr>
      <w:r w:rsidRPr="001964DE">
        <w:rPr>
          <w:bCs/>
          <w:kern w:val="16"/>
        </w:rPr>
        <w:lastRenderedPageBreak/>
        <w:t>Приложение 3</w:t>
      </w:r>
    </w:p>
    <w:p w:rsidR="00BD7C30" w:rsidRPr="005E1745" w:rsidRDefault="00BD7C30" w:rsidP="00BD7C30">
      <w:pPr>
        <w:pStyle w:val="2"/>
        <w:widowControl w:val="0"/>
        <w:spacing w:after="0" w:line="240" w:lineRule="auto"/>
        <w:ind w:left="0" w:firstLine="720"/>
        <w:jc w:val="right"/>
        <w:rPr>
          <w:bCs/>
          <w:color w:val="000000"/>
          <w:kern w:val="16"/>
          <w:sz w:val="28"/>
          <w:szCs w:val="28"/>
          <w:highlight w:val="yellow"/>
        </w:rPr>
      </w:pPr>
    </w:p>
    <w:p w:rsidR="00BD7C30" w:rsidRPr="00951842" w:rsidRDefault="00BD7C30" w:rsidP="00BD7C30">
      <w:pPr>
        <w:pStyle w:val="2"/>
        <w:widowControl w:val="0"/>
        <w:spacing w:after="0" w:line="240" w:lineRule="auto"/>
        <w:ind w:left="0" w:firstLine="720"/>
        <w:jc w:val="center"/>
        <w:rPr>
          <w:b/>
          <w:bCs/>
          <w:kern w:val="16"/>
        </w:rPr>
      </w:pPr>
      <w:r w:rsidRPr="00951842">
        <w:rPr>
          <w:b/>
          <w:bCs/>
          <w:kern w:val="16"/>
        </w:rPr>
        <w:t>Информационно-аналитическая информация по туберкулезу за 2018</w:t>
      </w:r>
      <w:r>
        <w:rPr>
          <w:b/>
          <w:bCs/>
          <w:kern w:val="16"/>
        </w:rPr>
        <w:t xml:space="preserve"> </w:t>
      </w:r>
      <w:r w:rsidRPr="00951842">
        <w:rPr>
          <w:b/>
          <w:bCs/>
          <w:kern w:val="16"/>
        </w:rPr>
        <w:t>г.</w:t>
      </w:r>
    </w:p>
    <w:p w:rsidR="00BD7C30" w:rsidRPr="00F05054" w:rsidRDefault="00BD7C30" w:rsidP="00BD7C30">
      <w:pPr>
        <w:pStyle w:val="2"/>
        <w:widowControl w:val="0"/>
        <w:spacing w:after="0" w:line="240" w:lineRule="auto"/>
        <w:ind w:left="0" w:firstLine="720"/>
        <w:jc w:val="center"/>
        <w:rPr>
          <w:bCs/>
          <w:color w:val="000000"/>
          <w:kern w:val="16"/>
          <w:sz w:val="28"/>
          <w:szCs w:val="28"/>
          <w:highlight w:val="yellow"/>
        </w:rPr>
      </w:pPr>
    </w:p>
    <w:p w:rsidR="00BD7C30" w:rsidRPr="00F10AE4" w:rsidRDefault="00BD7C30" w:rsidP="00BD7C30">
      <w:pPr>
        <w:pStyle w:val="a3"/>
        <w:ind w:firstLine="709"/>
        <w:jc w:val="both"/>
        <w:rPr>
          <w:rFonts w:ascii="Times New Roman" w:hAnsi="Times New Roman"/>
          <w:b w:val="0"/>
        </w:rPr>
      </w:pPr>
      <w:proofErr w:type="gramStart"/>
      <w:r w:rsidRPr="00F10AE4">
        <w:rPr>
          <w:rFonts w:ascii="Times New Roman" w:hAnsi="Times New Roman"/>
          <w:b w:val="0"/>
          <w:kern w:val="16"/>
        </w:rPr>
        <w:t>В течение последних лет эпидемиологическая обстановка по туберкулёзу в Республике Марий Эл остаётся напряжённой, несмотря на наметившуюся стабилизацию заболеваемости в течение 2015-2018 гг. В 2018 году заболеваемость постоянных жителей республики составила 44,3 на 100 тысяч населения, что на 12,7 % ниже показателя за 2017 г. (50,5), но на 5,3 % выше показателя по Российской Федерации за 2018 г. (41,96).</w:t>
      </w:r>
      <w:proofErr w:type="gramEnd"/>
    </w:p>
    <w:p w:rsidR="00BD7C30" w:rsidRPr="00F10AE4" w:rsidRDefault="00BD7C30" w:rsidP="00BD7C30">
      <w:pPr>
        <w:pStyle w:val="a3"/>
        <w:jc w:val="both"/>
        <w:rPr>
          <w:rFonts w:ascii="Times New Roman" w:hAnsi="Times New Roman"/>
          <w:b w:val="0"/>
          <w:bCs w:val="0"/>
          <w:kern w:val="16"/>
        </w:rPr>
      </w:pPr>
    </w:p>
    <w:p w:rsidR="00BD7C30" w:rsidRPr="00F10AE4" w:rsidRDefault="00BD7C30" w:rsidP="00BD7C3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05500" cy="3200400"/>
            <wp:effectExtent l="0" t="0" r="0" b="0"/>
            <wp:docPr id="1" name="Диаграмма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D7C30" w:rsidRPr="00F10AE4" w:rsidRDefault="00BD7C30" w:rsidP="00BD7C30">
      <w:pPr>
        <w:pStyle w:val="a3"/>
        <w:ind w:firstLine="709"/>
        <w:jc w:val="both"/>
        <w:rPr>
          <w:rFonts w:ascii="Times New Roman" w:hAnsi="Times New Roman"/>
          <w:b w:val="0"/>
          <w:bCs w:val="0"/>
          <w:kern w:val="16"/>
        </w:rPr>
      </w:pPr>
      <w:r w:rsidRPr="00F10AE4">
        <w:rPr>
          <w:rFonts w:ascii="Times New Roman" w:hAnsi="Times New Roman"/>
          <w:b w:val="0"/>
          <w:kern w:val="16"/>
        </w:rPr>
        <w:t>В 2018 г. зарегистрировано 12 детей до 14 лет (9,4 на 100 тыс. населения) с впервые выявленной активной формой туберкулёза, что на 7,7 % ниже показателя 2017 г. (10,2). Зарегистрировано 7 случаев с впервые выявленной активной формой туберкулёза у подростков до 17 лет (в 2017 − 6 сл.).</w:t>
      </w:r>
    </w:p>
    <w:p w:rsidR="00BD7C30" w:rsidRPr="00F10AE4" w:rsidRDefault="00BD7C30" w:rsidP="00BD7C30">
      <w:pPr>
        <w:pStyle w:val="a3"/>
        <w:ind w:firstLine="709"/>
        <w:jc w:val="both"/>
        <w:rPr>
          <w:rFonts w:ascii="Times New Roman" w:hAnsi="Times New Roman"/>
          <w:b w:val="0"/>
          <w:bCs w:val="0"/>
          <w:kern w:val="16"/>
          <w:highlight w:val="yellow"/>
        </w:rPr>
      </w:pPr>
      <w:r w:rsidRPr="00F10AE4">
        <w:rPr>
          <w:rFonts w:ascii="Times New Roman" w:hAnsi="Times New Roman"/>
          <w:b w:val="0"/>
        </w:rPr>
        <w:t>Показатель заболеваемость среди лиц, проживающих в сельской местности в 1,5 раза выше, чем у городского населения, в том числе бациллярными формами туберкулеза в 1,6 раза.  Продолжают  регистрироваться случаи заболеваемости  туберкулезом среди детей в возрастной группе 3-6 лет  (всего 3 случая). Вместе с тем, на всех территориях  в 2018 г. не все дети, в т.ч. новорожденные были охвачены профилактическими прививками против туберкулеза.</w:t>
      </w:r>
    </w:p>
    <w:p w:rsidR="00BD7C30" w:rsidRPr="00F10AE4" w:rsidRDefault="00BD7C30" w:rsidP="00BD7C30">
      <w:pPr>
        <w:pStyle w:val="2"/>
        <w:spacing w:after="0" w:line="240" w:lineRule="auto"/>
        <w:ind w:left="0" w:firstLine="709"/>
        <w:jc w:val="both"/>
      </w:pPr>
      <w:r w:rsidRPr="00F10AE4">
        <w:t xml:space="preserve">Случаи заболевания населения туберкулёзом зарегистрированы во всех муниципальных образованиях республики, в 12 из них заболеваемость превышает </w:t>
      </w:r>
      <w:proofErr w:type="spellStart"/>
      <w:r w:rsidRPr="00F10AE4">
        <w:t>среднереспубликанский</w:t>
      </w:r>
      <w:proofErr w:type="spellEnd"/>
      <w:r w:rsidRPr="00F10AE4">
        <w:t xml:space="preserve"> показатель.</w:t>
      </w:r>
    </w:p>
    <w:p w:rsidR="00BD7C30" w:rsidRPr="00F10AE4" w:rsidRDefault="00BD7C30" w:rsidP="00BD7C30">
      <w:pPr>
        <w:pStyle w:val="2"/>
        <w:spacing w:line="240" w:lineRule="auto"/>
        <w:ind w:left="0" w:firstLine="709"/>
        <w:jc w:val="both"/>
      </w:pPr>
      <w:r w:rsidRPr="00F10AE4">
        <w:t xml:space="preserve">Наиболее высокие уровни заболеваемости отмечаются в </w:t>
      </w:r>
      <w:proofErr w:type="spellStart"/>
      <w:r w:rsidRPr="00F10AE4">
        <w:t>Новоторъяльском</w:t>
      </w:r>
      <w:proofErr w:type="spellEnd"/>
      <w:r w:rsidRPr="00F10AE4">
        <w:t xml:space="preserve"> (113,7 на 100 тыс. населения), </w:t>
      </w:r>
      <w:proofErr w:type="spellStart"/>
      <w:r w:rsidRPr="00F10AE4">
        <w:t>Куженерском</w:t>
      </w:r>
      <w:proofErr w:type="spellEnd"/>
      <w:r w:rsidRPr="00F10AE4">
        <w:t xml:space="preserve"> (91,9), </w:t>
      </w:r>
      <w:proofErr w:type="spellStart"/>
      <w:r w:rsidRPr="00F10AE4">
        <w:t>Килемарском</w:t>
      </w:r>
      <w:proofErr w:type="spellEnd"/>
      <w:r w:rsidRPr="00F10AE4">
        <w:t xml:space="preserve"> (89,9), </w:t>
      </w:r>
      <w:proofErr w:type="spellStart"/>
      <w:r w:rsidRPr="00F10AE4">
        <w:t>Параньгинском</w:t>
      </w:r>
      <w:proofErr w:type="spellEnd"/>
      <w:r w:rsidRPr="00F10AE4">
        <w:t xml:space="preserve"> (75,6), </w:t>
      </w:r>
      <w:proofErr w:type="spellStart"/>
      <w:r w:rsidRPr="00F10AE4">
        <w:t>Моркинском</w:t>
      </w:r>
      <w:proofErr w:type="spellEnd"/>
      <w:r w:rsidRPr="00F10AE4">
        <w:t xml:space="preserve"> (74,1), </w:t>
      </w:r>
      <w:proofErr w:type="spellStart"/>
      <w:r w:rsidRPr="00F10AE4">
        <w:t>Оршанском</w:t>
      </w:r>
      <w:proofErr w:type="spellEnd"/>
      <w:r w:rsidRPr="00F10AE4">
        <w:t xml:space="preserve"> (73,2), Волжском (63,7) районах.</w:t>
      </w:r>
    </w:p>
    <w:p w:rsidR="00BD7C30" w:rsidRPr="00F10AE4" w:rsidRDefault="00BD7C30" w:rsidP="00BD7C30">
      <w:pPr>
        <w:widowControl w:val="0"/>
        <w:ind w:firstLine="11"/>
        <w:jc w:val="center"/>
        <w:rPr>
          <w:bCs/>
        </w:rPr>
      </w:pPr>
      <w:r w:rsidRPr="00F10AE4">
        <w:rPr>
          <w:b/>
          <w:bCs/>
        </w:rPr>
        <w:t>Заболеваемость активными формами туберкулёза в 2016-2018 гг.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3"/>
        <w:gridCol w:w="1128"/>
        <w:gridCol w:w="1131"/>
        <w:gridCol w:w="1127"/>
        <w:gridCol w:w="1129"/>
        <w:gridCol w:w="1127"/>
        <w:gridCol w:w="1126"/>
      </w:tblGrid>
      <w:tr w:rsidR="00BD7C30" w:rsidRPr="00F10AE4" w:rsidTr="00721086">
        <w:trPr>
          <w:tblHeader/>
          <w:jc w:val="center"/>
        </w:trPr>
        <w:tc>
          <w:tcPr>
            <w:tcW w:w="1464" w:type="pct"/>
            <w:vMerge w:val="restar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Муниципальные образования</w:t>
            </w:r>
          </w:p>
        </w:tc>
        <w:tc>
          <w:tcPr>
            <w:tcW w:w="1180" w:type="pct"/>
            <w:gridSpan w:val="2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2016 г.</w:t>
            </w:r>
          </w:p>
        </w:tc>
        <w:tc>
          <w:tcPr>
            <w:tcW w:w="1179" w:type="pct"/>
            <w:gridSpan w:val="2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2017 г.</w:t>
            </w:r>
          </w:p>
        </w:tc>
        <w:tc>
          <w:tcPr>
            <w:tcW w:w="1177" w:type="pct"/>
            <w:gridSpan w:val="2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2018 г.</w:t>
            </w:r>
          </w:p>
        </w:tc>
      </w:tr>
      <w:tr w:rsidR="00BD7C30" w:rsidRPr="00F10AE4" w:rsidTr="00721086">
        <w:trPr>
          <w:tblHeader/>
          <w:jc w:val="center"/>
        </w:trPr>
        <w:tc>
          <w:tcPr>
            <w:tcW w:w="1464" w:type="pct"/>
            <w:vMerge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proofErr w:type="spellStart"/>
            <w:r w:rsidRPr="00F10AE4">
              <w:t>абс</w:t>
            </w:r>
            <w:proofErr w:type="spellEnd"/>
            <w:r w:rsidRPr="00F10AE4">
              <w:t>. число</w:t>
            </w:r>
          </w:p>
        </w:tc>
        <w:tc>
          <w:tcPr>
            <w:tcW w:w="591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на 100 тыс.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proofErr w:type="spellStart"/>
            <w:r w:rsidRPr="00F10AE4">
              <w:t>абс</w:t>
            </w:r>
            <w:proofErr w:type="spellEnd"/>
            <w:r w:rsidRPr="00F10AE4">
              <w:t>. число</w:t>
            </w:r>
          </w:p>
        </w:tc>
        <w:tc>
          <w:tcPr>
            <w:tcW w:w="590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на 100 тыс.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proofErr w:type="spellStart"/>
            <w:r w:rsidRPr="00F10AE4">
              <w:t>абс</w:t>
            </w:r>
            <w:proofErr w:type="spellEnd"/>
            <w:r w:rsidRPr="00F10AE4">
              <w:t>. число</w:t>
            </w:r>
          </w:p>
        </w:tc>
        <w:tc>
          <w:tcPr>
            <w:tcW w:w="588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на 100 тыс.</w:t>
            </w:r>
          </w:p>
        </w:tc>
      </w:tr>
      <w:tr w:rsidR="00BD7C30" w:rsidRPr="00F10AE4" w:rsidTr="00721086">
        <w:trPr>
          <w:jc w:val="center"/>
        </w:trPr>
        <w:tc>
          <w:tcPr>
            <w:tcW w:w="1464" w:type="pct"/>
            <w:vAlign w:val="center"/>
          </w:tcPr>
          <w:p w:rsidR="00BD7C30" w:rsidRPr="00F10AE4" w:rsidRDefault="00BD7C30" w:rsidP="00721086">
            <w:pPr>
              <w:spacing w:before="20" w:after="20"/>
            </w:pPr>
            <w:r w:rsidRPr="00F10AE4">
              <w:t>Волжский район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10</w:t>
            </w:r>
          </w:p>
        </w:tc>
        <w:tc>
          <w:tcPr>
            <w:tcW w:w="591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45,2</w:t>
            </w:r>
          </w:p>
        </w:tc>
        <w:tc>
          <w:tcPr>
            <w:tcW w:w="589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9</w:t>
            </w:r>
          </w:p>
        </w:tc>
        <w:tc>
          <w:tcPr>
            <w:tcW w:w="590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40,7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14</w:t>
            </w:r>
          </w:p>
        </w:tc>
        <w:tc>
          <w:tcPr>
            <w:tcW w:w="588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63,7</w:t>
            </w:r>
          </w:p>
        </w:tc>
      </w:tr>
      <w:tr w:rsidR="00BD7C30" w:rsidRPr="00F10AE4" w:rsidTr="00721086">
        <w:trPr>
          <w:jc w:val="center"/>
        </w:trPr>
        <w:tc>
          <w:tcPr>
            <w:tcW w:w="1464" w:type="pct"/>
            <w:vAlign w:val="center"/>
          </w:tcPr>
          <w:p w:rsidR="00BD7C30" w:rsidRPr="00F10AE4" w:rsidRDefault="00BD7C30" w:rsidP="00721086">
            <w:pPr>
              <w:spacing w:before="20" w:after="20"/>
            </w:pPr>
            <w:proofErr w:type="spellStart"/>
            <w:r w:rsidRPr="00F10AE4">
              <w:t>Горномарийский</w:t>
            </w:r>
            <w:proofErr w:type="spellEnd"/>
            <w:r w:rsidRPr="00F10AE4">
              <w:t xml:space="preserve"> район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16</w:t>
            </w:r>
          </w:p>
        </w:tc>
        <w:tc>
          <w:tcPr>
            <w:tcW w:w="591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70,8</w:t>
            </w:r>
          </w:p>
        </w:tc>
        <w:tc>
          <w:tcPr>
            <w:tcW w:w="589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15</w:t>
            </w:r>
          </w:p>
        </w:tc>
        <w:tc>
          <w:tcPr>
            <w:tcW w:w="590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67,8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9</w:t>
            </w:r>
          </w:p>
        </w:tc>
        <w:tc>
          <w:tcPr>
            <w:tcW w:w="588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41,4</w:t>
            </w:r>
          </w:p>
        </w:tc>
      </w:tr>
      <w:tr w:rsidR="00BD7C30" w:rsidRPr="00F10AE4" w:rsidTr="00721086">
        <w:trPr>
          <w:jc w:val="center"/>
        </w:trPr>
        <w:tc>
          <w:tcPr>
            <w:tcW w:w="1464" w:type="pct"/>
            <w:vAlign w:val="center"/>
          </w:tcPr>
          <w:p w:rsidR="00BD7C30" w:rsidRPr="00F10AE4" w:rsidRDefault="00BD7C30" w:rsidP="00721086">
            <w:pPr>
              <w:spacing w:before="20" w:after="20"/>
            </w:pPr>
            <w:proofErr w:type="spellStart"/>
            <w:r w:rsidRPr="00F10AE4">
              <w:lastRenderedPageBreak/>
              <w:t>Звениговский</w:t>
            </w:r>
            <w:proofErr w:type="spellEnd"/>
            <w:r w:rsidRPr="00F10AE4">
              <w:t xml:space="preserve"> район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50</w:t>
            </w:r>
          </w:p>
        </w:tc>
        <w:tc>
          <w:tcPr>
            <w:tcW w:w="591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117,6</w:t>
            </w:r>
          </w:p>
        </w:tc>
        <w:tc>
          <w:tcPr>
            <w:tcW w:w="589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30</w:t>
            </w:r>
          </w:p>
        </w:tc>
        <w:tc>
          <w:tcPr>
            <w:tcW w:w="590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71,4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15</w:t>
            </w:r>
          </w:p>
        </w:tc>
        <w:tc>
          <w:tcPr>
            <w:tcW w:w="588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36,2</w:t>
            </w:r>
          </w:p>
        </w:tc>
      </w:tr>
      <w:tr w:rsidR="00BD7C30" w:rsidRPr="00F10AE4" w:rsidTr="00721086">
        <w:trPr>
          <w:jc w:val="center"/>
        </w:trPr>
        <w:tc>
          <w:tcPr>
            <w:tcW w:w="1464" w:type="pct"/>
            <w:vAlign w:val="center"/>
          </w:tcPr>
          <w:p w:rsidR="00BD7C30" w:rsidRPr="00F10AE4" w:rsidRDefault="00BD7C30" w:rsidP="00721086">
            <w:pPr>
              <w:spacing w:before="20" w:after="20"/>
            </w:pPr>
            <w:proofErr w:type="spellStart"/>
            <w:r w:rsidRPr="00F10AE4">
              <w:t>Килемарский</w:t>
            </w:r>
            <w:proofErr w:type="spellEnd"/>
            <w:r w:rsidRPr="00F10AE4">
              <w:t xml:space="preserve"> район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7</w:t>
            </w:r>
          </w:p>
        </w:tc>
        <w:tc>
          <w:tcPr>
            <w:tcW w:w="591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56,4</w:t>
            </w:r>
          </w:p>
        </w:tc>
        <w:tc>
          <w:tcPr>
            <w:tcW w:w="589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10</w:t>
            </w:r>
          </w:p>
        </w:tc>
        <w:tc>
          <w:tcPr>
            <w:tcW w:w="590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80,9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11</w:t>
            </w:r>
          </w:p>
        </w:tc>
        <w:tc>
          <w:tcPr>
            <w:tcW w:w="588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89,9</w:t>
            </w:r>
          </w:p>
        </w:tc>
      </w:tr>
      <w:tr w:rsidR="00BD7C30" w:rsidRPr="00F10AE4" w:rsidTr="00721086">
        <w:trPr>
          <w:jc w:val="center"/>
        </w:trPr>
        <w:tc>
          <w:tcPr>
            <w:tcW w:w="1464" w:type="pct"/>
            <w:vAlign w:val="center"/>
          </w:tcPr>
          <w:p w:rsidR="00BD7C30" w:rsidRPr="00F10AE4" w:rsidRDefault="00BD7C30" w:rsidP="00721086">
            <w:pPr>
              <w:spacing w:before="20" w:after="20"/>
            </w:pPr>
            <w:proofErr w:type="spellStart"/>
            <w:r w:rsidRPr="00F10AE4">
              <w:t>Куженерский</w:t>
            </w:r>
            <w:proofErr w:type="spellEnd"/>
            <w:r w:rsidRPr="00F10AE4">
              <w:t xml:space="preserve"> район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15</w:t>
            </w:r>
          </w:p>
        </w:tc>
        <w:tc>
          <w:tcPr>
            <w:tcW w:w="591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112,6</w:t>
            </w:r>
          </w:p>
        </w:tc>
        <w:tc>
          <w:tcPr>
            <w:tcW w:w="589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11</w:t>
            </w:r>
          </w:p>
        </w:tc>
        <w:tc>
          <w:tcPr>
            <w:tcW w:w="590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83,2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12</w:t>
            </w:r>
          </w:p>
        </w:tc>
        <w:tc>
          <w:tcPr>
            <w:tcW w:w="588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91,9</w:t>
            </w:r>
          </w:p>
        </w:tc>
      </w:tr>
      <w:tr w:rsidR="00BD7C30" w:rsidRPr="00F10AE4" w:rsidTr="00721086">
        <w:trPr>
          <w:jc w:val="center"/>
        </w:trPr>
        <w:tc>
          <w:tcPr>
            <w:tcW w:w="1464" w:type="pct"/>
            <w:vAlign w:val="center"/>
          </w:tcPr>
          <w:p w:rsidR="00BD7C30" w:rsidRPr="00F10AE4" w:rsidRDefault="00BD7C30" w:rsidP="00721086">
            <w:pPr>
              <w:spacing w:before="20" w:after="20"/>
            </w:pPr>
            <w:proofErr w:type="spellStart"/>
            <w:r w:rsidRPr="00F10AE4">
              <w:t>Мари-Турекский</w:t>
            </w:r>
            <w:proofErr w:type="spellEnd"/>
            <w:r w:rsidRPr="00F10AE4">
              <w:t xml:space="preserve"> район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14</w:t>
            </w:r>
          </w:p>
        </w:tc>
        <w:tc>
          <w:tcPr>
            <w:tcW w:w="591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69,1</w:t>
            </w:r>
          </w:p>
        </w:tc>
        <w:tc>
          <w:tcPr>
            <w:tcW w:w="589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11</w:t>
            </w:r>
          </w:p>
        </w:tc>
        <w:tc>
          <w:tcPr>
            <w:tcW w:w="590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55,1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8</w:t>
            </w:r>
          </w:p>
        </w:tc>
        <w:tc>
          <w:tcPr>
            <w:tcW w:w="588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40,9</w:t>
            </w:r>
          </w:p>
        </w:tc>
      </w:tr>
      <w:tr w:rsidR="00BD7C30" w:rsidRPr="00F10AE4" w:rsidTr="00721086">
        <w:trPr>
          <w:jc w:val="center"/>
        </w:trPr>
        <w:tc>
          <w:tcPr>
            <w:tcW w:w="1464" w:type="pct"/>
            <w:vAlign w:val="center"/>
          </w:tcPr>
          <w:p w:rsidR="00BD7C30" w:rsidRPr="00F10AE4" w:rsidRDefault="00BD7C30" w:rsidP="00721086">
            <w:pPr>
              <w:spacing w:before="20" w:after="20"/>
            </w:pPr>
            <w:proofErr w:type="spellStart"/>
            <w:r w:rsidRPr="00F10AE4">
              <w:t>Медведевский</w:t>
            </w:r>
            <w:proofErr w:type="spellEnd"/>
            <w:r w:rsidRPr="00F10AE4">
              <w:t xml:space="preserve"> район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30</w:t>
            </w:r>
          </w:p>
        </w:tc>
        <w:tc>
          <w:tcPr>
            <w:tcW w:w="591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44,7</w:t>
            </w:r>
          </w:p>
        </w:tc>
        <w:tc>
          <w:tcPr>
            <w:tcW w:w="589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45</w:t>
            </w:r>
          </w:p>
        </w:tc>
        <w:tc>
          <w:tcPr>
            <w:tcW w:w="590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41,4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30</w:t>
            </w:r>
          </w:p>
        </w:tc>
        <w:tc>
          <w:tcPr>
            <w:tcW w:w="588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44,8</w:t>
            </w:r>
          </w:p>
        </w:tc>
      </w:tr>
      <w:tr w:rsidR="00BD7C30" w:rsidRPr="00F10AE4" w:rsidTr="00721086">
        <w:trPr>
          <w:jc w:val="center"/>
        </w:trPr>
        <w:tc>
          <w:tcPr>
            <w:tcW w:w="1464" w:type="pct"/>
            <w:vAlign w:val="center"/>
          </w:tcPr>
          <w:p w:rsidR="00BD7C30" w:rsidRPr="00F10AE4" w:rsidRDefault="00BD7C30" w:rsidP="00721086">
            <w:pPr>
              <w:spacing w:before="20" w:after="20"/>
            </w:pPr>
            <w:proofErr w:type="spellStart"/>
            <w:r w:rsidRPr="00F10AE4">
              <w:t>Моркинский</w:t>
            </w:r>
            <w:proofErr w:type="spellEnd"/>
            <w:r w:rsidRPr="00F10AE4">
              <w:t xml:space="preserve"> район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22</w:t>
            </w:r>
          </w:p>
        </w:tc>
        <w:tc>
          <w:tcPr>
            <w:tcW w:w="591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76,0</w:t>
            </w:r>
          </w:p>
        </w:tc>
        <w:tc>
          <w:tcPr>
            <w:tcW w:w="589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22</w:t>
            </w:r>
          </w:p>
        </w:tc>
        <w:tc>
          <w:tcPr>
            <w:tcW w:w="590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76,6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21</w:t>
            </w:r>
          </w:p>
        </w:tc>
        <w:tc>
          <w:tcPr>
            <w:tcW w:w="588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74,1</w:t>
            </w:r>
          </w:p>
        </w:tc>
      </w:tr>
      <w:tr w:rsidR="00BD7C30" w:rsidRPr="00F10AE4" w:rsidTr="00721086">
        <w:trPr>
          <w:jc w:val="center"/>
        </w:trPr>
        <w:tc>
          <w:tcPr>
            <w:tcW w:w="1464" w:type="pct"/>
            <w:vAlign w:val="center"/>
          </w:tcPr>
          <w:p w:rsidR="00BD7C30" w:rsidRPr="00F10AE4" w:rsidRDefault="00BD7C30" w:rsidP="00721086">
            <w:pPr>
              <w:spacing w:before="20" w:after="20"/>
            </w:pPr>
            <w:proofErr w:type="spellStart"/>
            <w:r w:rsidRPr="00F10AE4">
              <w:t>Новоторъяльский</w:t>
            </w:r>
            <w:proofErr w:type="spellEnd"/>
            <w:r w:rsidRPr="00F10AE4">
              <w:t xml:space="preserve"> район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9</w:t>
            </w:r>
          </w:p>
        </w:tc>
        <w:tc>
          <w:tcPr>
            <w:tcW w:w="591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59,0</w:t>
            </w:r>
          </w:p>
        </w:tc>
        <w:tc>
          <w:tcPr>
            <w:tcW w:w="589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19</w:t>
            </w:r>
          </w:p>
        </w:tc>
        <w:tc>
          <w:tcPr>
            <w:tcW w:w="590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125,5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17</w:t>
            </w:r>
          </w:p>
        </w:tc>
        <w:tc>
          <w:tcPr>
            <w:tcW w:w="588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113,7</w:t>
            </w:r>
          </w:p>
        </w:tc>
      </w:tr>
      <w:tr w:rsidR="00BD7C30" w:rsidRPr="00F10AE4" w:rsidTr="00721086">
        <w:trPr>
          <w:jc w:val="center"/>
        </w:trPr>
        <w:tc>
          <w:tcPr>
            <w:tcW w:w="1464" w:type="pct"/>
            <w:vAlign w:val="center"/>
          </w:tcPr>
          <w:p w:rsidR="00BD7C30" w:rsidRPr="00F10AE4" w:rsidRDefault="00BD7C30" w:rsidP="00721086">
            <w:pPr>
              <w:spacing w:before="20" w:after="20"/>
            </w:pPr>
            <w:proofErr w:type="spellStart"/>
            <w:r w:rsidRPr="00F10AE4">
              <w:t>Оршанский</w:t>
            </w:r>
            <w:proofErr w:type="spellEnd"/>
            <w:r w:rsidRPr="00F10AE4">
              <w:t xml:space="preserve"> район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4</w:t>
            </w:r>
          </w:p>
        </w:tc>
        <w:tc>
          <w:tcPr>
            <w:tcW w:w="591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28,6</w:t>
            </w:r>
          </w:p>
        </w:tc>
        <w:tc>
          <w:tcPr>
            <w:tcW w:w="589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6</w:t>
            </w:r>
          </w:p>
        </w:tc>
        <w:tc>
          <w:tcPr>
            <w:tcW w:w="590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43,2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10</w:t>
            </w:r>
          </w:p>
        </w:tc>
        <w:tc>
          <w:tcPr>
            <w:tcW w:w="588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73,2</w:t>
            </w:r>
          </w:p>
        </w:tc>
      </w:tr>
      <w:tr w:rsidR="00BD7C30" w:rsidRPr="00F10AE4" w:rsidTr="00721086">
        <w:trPr>
          <w:jc w:val="center"/>
        </w:trPr>
        <w:tc>
          <w:tcPr>
            <w:tcW w:w="1464" w:type="pct"/>
            <w:vAlign w:val="center"/>
          </w:tcPr>
          <w:p w:rsidR="00BD7C30" w:rsidRPr="00F10AE4" w:rsidRDefault="00BD7C30" w:rsidP="00721086">
            <w:pPr>
              <w:spacing w:before="20" w:after="20"/>
            </w:pPr>
            <w:proofErr w:type="spellStart"/>
            <w:r w:rsidRPr="00F10AE4">
              <w:t>Параньгинский</w:t>
            </w:r>
            <w:proofErr w:type="spellEnd"/>
            <w:r w:rsidRPr="00F10AE4">
              <w:t xml:space="preserve"> район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10</w:t>
            </w:r>
          </w:p>
        </w:tc>
        <w:tc>
          <w:tcPr>
            <w:tcW w:w="591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67,6</w:t>
            </w:r>
          </w:p>
        </w:tc>
        <w:tc>
          <w:tcPr>
            <w:tcW w:w="589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6</w:t>
            </w:r>
          </w:p>
        </w:tc>
        <w:tc>
          <w:tcPr>
            <w:tcW w:w="590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40,8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11</w:t>
            </w:r>
          </w:p>
        </w:tc>
        <w:tc>
          <w:tcPr>
            <w:tcW w:w="588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75,6</w:t>
            </w:r>
          </w:p>
        </w:tc>
      </w:tr>
      <w:tr w:rsidR="00BD7C30" w:rsidRPr="00F10AE4" w:rsidTr="00721086">
        <w:trPr>
          <w:jc w:val="center"/>
        </w:trPr>
        <w:tc>
          <w:tcPr>
            <w:tcW w:w="1464" w:type="pct"/>
            <w:vAlign w:val="center"/>
          </w:tcPr>
          <w:p w:rsidR="00BD7C30" w:rsidRPr="00F10AE4" w:rsidRDefault="00BD7C30" w:rsidP="00721086">
            <w:pPr>
              <w:spacing w:before="20" w:after="20"/>
            </w:pPr>
            <w:proofErr w:type="spellStart"/>
            <w:r w:rsidRPr="00F10AE4">
              <w:t>Сернурский</w:t>
            </w:r>
            <w:proofErr w:type="spellEnd"/>
            <w:r w:rsidRPr="00F10AE4">
              <w:t xml:space="preserve"> район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14</w:t>
            </w:r>
          </w:p>
        </w:tc>
        <w:tc>
          <w:tcPr>
            <w:tcW w:w="591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58,4</w:t>
            </w:r>
          </w:p>
        </w:tc>
        <w:tc>
          <w:tcPr>
            <w:tcW w:w="589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14</w:t>
            </w:r>
          </w:p>
        </w:tc>
        <w:tc>
          <w:tcPr>
            <w:tcW w:w="590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58,4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12</w:t>
            </w:r>
          </w:p>
        </w:tc>
        <w:tc>
          <w:tcPr>
            <w:tcW w:w="588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50,6</w:t>
            </w:r>
          </w:p>
        </w:tc>
      </w:tr>
      <w:tr w:rsidR="00BD7C30" w:rsidRPr="00F10AE4" w:rsidTr="00721086">
        <w:trPr>
          <w:jc w:val="center"/>
        </w:trPr>
        <w:tc>
          <w:tcPr>
            <w:tcW w:w="1464" w:type="pct"/>
            <w:vAlign w:val="center"/>
          </w:tcPr>
          <w:p w:rsidR="00BD7C30" w:rsidRPr="00F10AE4" w:rsidRDefault="00BD7C30" w:rsidP="00721086">
            <w:pPr>
              <w:spacing w:before="20" w:after="20"/>
            </w:pPr>
            <w:r w:rsidRPr="00F10AE4">
              <w:t>Советский район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16</w:t>
            </w:r>
          </w:p>
        </w:tc>
        <w:tc>
          <w:tcPr>
            <w:tcW w:w="591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54,0</w:t>
            </w:r>
          </w:p>
        </w:tc>
        <w:tc>
          <w:tcPr>
            <w:tcW w:w="589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21</w:t>
            </w:r>
          </w:p>
        </w:tc>
        <w:tc>
          <w:tcPr>
            <w:tcW w:w="590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71,4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14</w:t>
            </w:r>
          </w:p>
        </w:tc>
        <w:tc>
          <w:tcPr>
            <w:tcW w:w="588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48,0</w:t>
            </w:r>
          </w:p>
        </w:tc>
      </w:tr>
      <w:tr w:rsidR="00BD7C30" w:rsidRPr="00F10AE4" w:rsidTr="00721086">
        <w:trPr>
          <w:jc w:val="center"/>
        </w:trPr>
        <w:tc>
          <w:tcPr>
            <w:tcW w:w="1464" w:type="pct"/>
            <w:vAlign w:val="center"/>
          </w:tcPr>
          <w:p w:rsidR="00BD7C30" w:rsidRPr="00F10AE4" w:rsidRDefault="00BD7C30" w:rsidP="00721086">
            <w:pPr>
              <w:spacing w:before="20" w:after="20"/>
            </w:pPr>
            <w:proofErr w:type="spellStart"/>
            <w:r w:rsidRPr="00F10AE4">
              <w:t>Юринский</w:t>
            </w:r>
            <w:proofErr w:type="spellEnd"/>
            <w:r w:rsidRPr="00F10AE4">
              <w:t xml:space="preserve"> район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3</w:t>
            </w:r>
          </w:p>
        </w:tc>
        <w:tc>
          <w:tcPr>
            <w:tcW w:w="591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38,6</w:t>
            </w:r>
          </w:p>
        </w:tc>
        <w:tc>
          <w:tcPr>
            <w:tcW w:w="589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</w:t>
            </w:r>
          </w:p>
        </w:tc>
        <w:tc>
          <w:tcPr>
            <w:tcW w:w="590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13,3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4</w:t>
            </w:r>
          </w:p>
        </w:tc>
        <w:tc>
          <w:tcPr>
            <w:tcW w:w="588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55,0</w:t>
            </w:r>
          </w:p>
        </w:tc>
      </w:tr>
      <w:tr w:rsidR="00BD7C30" w:rsidRPr="00F10AE4" w:rsidTr="00721086">
        <w:trPr>
          <w:jc w:val="center"/>
        </w:trPr>
        <w:tc>
          <w:tcPr>
            <w:tcW w:w="1464" w:type="pct"/>
            <w:vAlign w:val="center"/>
          </w:tcPr>
          <w:p w:rsidR="00BD7C30" w:rsidRPr="00F10AE4" w:rsidRDefault="00BD7C30" w:rsidP="00721086">
            <w:pPr>
              <w:spacing w:before="20" w:after="20"/>
            </w:pPr>
            <w:r w:rsidRPr="00F10AE4">
              <w:t>г. Волжск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32</w:t>
            </w:r>
          </w:p>
        </w:tc>
        <w:tc>
          <w:tcPr>
            <w:tcW w:w="591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58,6</w:t>
            </w:r>
          </w:p>
        </w:tc>
        <w:tc>
          <w:tcPr>
            <w:tcW w:w="589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27</w:t>
            </w:r>
          </w:p>
        </w:tc>
        <w:tc>
          <w:tcPr>
            <w:tcW w:w="590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49,5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31</w:t>
            </w:r>
          </w:p>
        </w:tc>
        <w:tc>
          <w:tcPr>
            <w:tcW w:w="588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57,2</w:t>
            </w:r>
          </w:p>
        </w:tc>
      </w:tr>
      <w:tr w:rsidR="00BD7C30" w:rsidRPr="00F10AE4" w:rsidTr="00721086">
        <w:trPr>
          <w:jc w:val="center"/>
        </w:trPr>
        <w:tc>
          <w:tcPr>
            <w:tcW w:w="1464" w:type="pct"/>
            <w:vAlign w:val="center"/>
          </w:tcPr>
          <w:p w:rsidR="00BD7C30" w:rsidRPr="00F10AE4" w:rsidRDefault="00BD7C30" w:rsidP="00721086">
            <w:pPr>
              <w:spacing w:before="20" w:after="20"/>
            </w:pPr>
            <w:r w:rsidRPr="00F10AE4">
              <w:t>г. Козьмодемьянск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8</w:t>
            </w:r>
          </w:p>
        </w:tc>
        <w:tc>
          <w:tcPr>
            <w:tcW w:w="591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39,0</w:t>
            </w:r>
          </w:p>
        </w:tc>
        <w:tc>
          <w:tcPr>
            <w:tcW w:w="589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3</w:t>
            </w:r>
          </w:p>
        </w:tc>
        <w:tc>
          <w:tcPr>
            <w:tcW w:w="590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14,8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5</w:t>
            </w:r>
          </w:p>
        </w:tc>
        <w:tc>
          <w:tcPr>
            <w:tcW w:w="588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24,7</w:t>
            </w:r>
          </w:p>
        </w:tc>
      </w:tr>
      <w:tr w:rsidR="00BD7C30" w:rsidRPr="00F10AE4" w:rsidTr="00721086">
        <w:trPr>
          <w:jc w:val="center"/>
        </w:trPr>
        <w:tc>
          <w:tcPr>
            <w:tcW w:w="1464" w:type="pct"/>
            <w:vAlign w:val="center"/>
          </w:tcPr>
          <w:p w:rsidR="00BD7C30" w:rsidRPr="00F10AE4" w:rsidRDefault="00BD7C30" w:rsidP="00721086">
            <w:pPr>
              <w:spacing w:before="20" w:after="20"/>
            </w:pPr>
            <w:r w:rsidRPr="00F10AE4">
              <w:t>г. Йошкар-Ола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72</w:t>
            </w:r>
          </w:p>
        </w:tc>
        <w:tc>
          <w:tcPr>
            <w:tcW w:w="591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26,1</w:t>
            </w:r>
          </w:p>
        </w:tc>
        <w:tc>
          <w:tcPr>
            <w:tcW w:w="589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96</w:t>
            </w:r>
          </w:p>
        </w:tc>
        <w:tc>
          <w:tcPr>
            <w:tcW w:w="590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34,6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78</w:t>
            </w:r>
          </w:p>
        </w:tc>
        <w:tc>
          <w:tcPr>
            <w:tcW w:w="588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27,9</w:t>
            </w:r>
          </w:p>
        </w:tc>
      </w:tr>
      <w:tr w:rsidR="00BD7C30" w:rsidRPr="00F10AE4" w:rsidTr="00721086">
        <w:trPr>
          <w:jc w:val="center"/>
        </w:trPr>
        <w:tc>
          <w:tcPr>
            <w:tcW w:w="1464" w:type="pct"/>
            <w:vAlign w:val="center"/>
          </w:tcPr>
          <w:p w:rsidR="00BD7C30" w:rsidRPr="00F10AE4" w:rsidRDefault="00BD7C30" w:rsidP="00721086">
            <w:pPr>
              <w:spacing w:before="20" w:after="20"/>
            </w:pPr>
            <w:r w:rsidRPr="00F10AE4">
              <w:t>По республике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332</w:t>
            </w:r>
          </w:p>
        </w:tc>
        <w:tc>
          <w:tcPr>
            <w:tcW w:w="591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48,4</w:t>
            </w:r>
          </w:p>
        </w:tc>
        <w:tc>
          <w:tcPr>
            <w:tcW w:w="589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346</w:t>
            </w:r>
          </w:p>
        </w:tc>
        <w:tc>
          <w:tcPr>
            <w:tcW w:w="590" w:type="pct"/>
            <w:noWrap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50,5</w:t>
            </w:r>
          </w:p>
        </w:tc>
        <w:tc>
          <w:tcPr>
            <w:tcW w:w="589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302</w:t>
            </w:r>
          </w:p>
        </w:tc>
        <w:tc>
          <w:tcPr>
            <w:tcW w:w="588" w:type="pct"/>
            <w:vAlign w:val="center"/>
          </w:tcPr>
          <w:p w:rsidR="00BD7C30" w:rsidRPr="00F10AE4" w:rsidRDefault="00BD7C30" w:rsidP="00721086">
            <w:pPr>
              <w:spacing w:before="20" w:after="20"/>
              <w:jc w:val="center"/>
            </w:pPr>
            <w:r w:rsidRPr="00F10AE4">
              <w:t>44,3</w:t>
            </w:r>
          </w:p>
        </w:tc>
      </w:tr>
    </w:tbl>
    <w:p w:rsidR="00BD7C30" w:rsidRPr="00F10AE4" w:rsidRDefault="00BD7C30" w:rsidP="00BD7C30">
      <w:pPr>
        <w:jc w:val="both"/>
        <w:rPr>
          <w:bCs/>
        </w:rPr>
      </w:pPr>
    </w:p>
    <w:p w:rsidR="00BD7C30" w:rsidRPr="00F10AE4" w:rsidRDefault="00BD7C30" w:rsidP="00BD7C30">
      <w:pPr>
        <w:ind w:firstLine="709"/>
        <w:jc w:val="both"/>
      </w:pPr>
      <w:r w:rsidRPr="00F10AE4">
        <w:t>В 2018 г. заболеваемость бациллярными формами туберкулёза в структуре заболеваемости туберкулёзом занимала 68,5 %, в том числе с множественной лекарственной устойчивостью – 21,3 %.</w:t>
      </w:r>
    </w:p>
    <w:p w:rsidR="00BD7C30" w:rsidRPr="00F10AE4" w:rsidRDefault="00BD7C30" w:rsidP="00BD7C30">
      <w:pPr>
        <w:ind w:firstLine="709"/>
        <w:jc w:val="both"/>
      </w:pPr>
      <w:proofErr w:type="gramStart"/>
      <w:r w:rsidRPr="00F10AE4">
        <w:t>Из числа вновь выявленных больных 33,1 % (100 человек) самостоятельно обратились за медицинской помощью, 31,8 % больных активными формами туберкулёза выявлены в фазе распада, а у 45,5 % вновь выявленных больных последнее обследование на туберкулёз в анамнезе – 2 и более года назад.</w:t>
      </w:r>
      <w:proofErr w:type="gramEnd"/>
    </w:p>
    <w:p w:rsidR="00BD7C30" w:rsidRPr="00F10AE4" w:rsidRDefault="00BD7C30" w:rsidP="00BD7C30">
      <w:pPr>
        <w:ind w:firstLine="709"/>
        <w:jc w:val="both"/>
      </w:pPr>
      <w:r w:rsidRPr="00F10AE4">
        <w:t>Заболеваемость туберкулёзом по возрастам распределилась следующим образом: в возрастных группах 0-4 года показатель 4,2 на 100 тыс. населения; 5-9 лет – 4,5; 10-14 лет – 21,8; 15-19 лет – 22,2; 20-39 лет – 58,9; 40-59 лет – 64,2; 60 лет и старше – 34,4. Таким образом, наибольшие показатели заболеваемости регистрируются среди трудоспособного взрослого населения от 20 до 60 лет.</w:t>
      </w:r>
    </w:p>
    <w:p w:rsidR="00BD7C30" w:rsidRPr="00F10AE4" w:rsidRDefault="00BD7C30" w:rsidP="00BD7C30">
      <w:pPr>
        <w:ind w:firstLine="709"/>
        <w:jc w:val="both"/>
      </w:pPr>
      <w:proofErr w:type="gramStart"/>
      <w:r w:rsidRPr="00F10AE4">
        <w:t>Наибольшие показатели заболеваемости зарегистрированы среди лиц трудоспособного возраста, не имеющих работу, составляющие в структуре заболеваемости туберкулезом более 40%. Среди работающих категорий больных наибольшая заболеваемость у работников промышленных предприятий; остается высокой заболеваемость среди пенсионеров.</w:t>
      </w:r>
      <w:proofErr w:type="gramEnd"/>
    </w:p>
    <w:p w:rsidR="00BD7C30" w:rsidRPr="00F10AE4" w:rsidRDefault="00BD7C30" w:rsidP="00BD7C30">
      <w:pPr>
        <w:ind w:firstLine="709"/>
        <w:jc w:val="both"/>
      </w:pPr>
      <w:r w:rsidRPr="00F10AE4">
        <w:t>Из неблагополучных факторов, повлиявших на заболевание туберкулёзом, у 11% в анамнезе временные заработки за пределами республики, 1,2% состоят на учёте в наркологическом диспансере, 29% имеют среднедушевой доход на одного члена семьи менее 5000 рулей, 41,5% проживают на площадях менее 18 м</w:t>
      </w:r>
      <w:proofErr w:type="gramStart"/>
      <w:r w:rsidRPr="00F10AE4">
        <w:rPr>
          <w:vertAlign w:val="superscript"/>
        </w:rPr>
        <w:t>2</w:t>
      </w:r>
      <w:proofErr w:type="gramEnd"/>
      <w:r w:rsidRPr="00F10AE4">
        <w:t>, а 2,6% – в коммунальной квартире или общежитии.</w:t>
      </w:r>
    </w:p>
    <w:p w:rsidR="00BD7C30" w:rsidRPr="00F10AE4" w:rsidRDefault="00BD7C30" w:rsidP="00BD7C30">
      <w:pPr>
        <w:ind w:firstLine="709"/>
        <w:jc w:val="both"/>
      </w:pPr>
      <w:r w:rsidRPr="00F10AE4">
        <w:t>Выявлены антитела к ВИЧ-инфекции у 22 больных с впервые выявленным туберкулёзом (в 2017 г. – 21; 2016 г. – 16).</w:t>
      </w:r>
    </w:p>
    <w:p w:rsidR="00BD7C30" w:rsidRPr="00F10AE4" w:rsidRDefault="00BD7C30" w:rsidP="00BD7C30">
      <w:pPr>
        <w:ind w:firstLine="709"/>
        <w:jc w:val="both"/>
      </w:pPr>
      <w:r w:rsidRPr="00F10AE4">
        <w:t>В республике отмечается высокий удельный вес умерших от туберкулёза людей, состоящих на учёте менее одного года; в 2018 г. этот показатель составил 57,1 % (16 чел.) от всех умерших с диагнозом туберкулёз (в 2017 г. – 44,0 %, 2016 г. – 29,9%).</w:t>
      </w:r>
    </w:p>
    <w:p w:rsidR="00BD7C30" w:rsidRPr="00F10AE4" w:rsidRDefault="00BD7C30" w:rsidP="00BD7C30">
      <w:pPr>
        <w:ind w:firstLine="709"/>
        <w:jc w:val="both"/>
      </w:pPr>
      <w:r w:rsidRPr="00F10AE4">
        <w:lastRenderedPageBreak/>
        <w:t xml:space="preserve">С целью раннего выявления туберкулёза в 2018 г. охват населения </w:t>
      </w:r>
      <w:proofErr w:type="spellStart"/>
      <w:r w:rsidRPr="00F10AE4">
        <w:t>рентгенофлюорографическим</w:t>
      </w:r>
      <w:proofErr w:type="spellEnd"/>
      <w:r w:rsidRPr="00F10AE4">
        <w:t xml:space="preserve"> обследованием составил 76,3 % от прикреплённого населения (обследовано 465822 человека, что на 9,8 % выше, чем в 2017 г.).</w:t>
      </w:r>
    </w:p>
    <w:p w:rsidR="00BD7C30" w:rsidRPr="00F10AE4" w:rsidRDefault="00BD7C30" w:rsidP="00BD7C30">
      <w:pPr>
        <w:ind w:firstLine="709"/>
        <w:jc w:val="both"/>
      </w:pPr>
      <w:r w:rsidRPr="00F10AE4">
        <w:t xml:space="preserve">Выполнение Плана профилактических </w:t>
      </w:r>
      <w:proofErr w:type="spellStart"/>
      <w:r w:rsidRPr="00F10AE4">
        <w:t>рентгенофлюорографических</w:t>
      </w:r>
      <w:proofErr w:type="spellEnd"/>
      <w:r w:rsidRPr="00F10AE4">
        <w:t xml:space="preserve"> осмотров населения на туберкулёз в 2018 г. в целом по Республике Марий Эл составило 90,2%. При этом отмечается невыполнение Плана в </w:t>
      </w:r>
      <w:proofErr w:type="spellStart"/>
      <w:r w:rsidRPr="00F10AE4">
        <w:t>Горномарийском</w:t>
      </w:r>
      <w:proofErr w:type="spellEnd"/>
      <w:r w:rsidRPr="00F10AE4">
        <w:t xml:space="preserve">, </w:t>
      </w:r>
      <w:proofErr w:type="spellStart"/>
      <w:r w:rsidRPr="00F10AE4">
        <w:t>Звениговском</w:t>
      </w:r>
      <w:proofErr w:type="spellEnd"/>
      <w:r w:rsidRPr="00F10AE4">
        <w:t xml:space="preserve">, </w:t>
      </w:r>
      <w:proofErr w:type="spellStart"/>
      <w:r w:rsidRPr="00F10AE4">
        <w:t>Килемарском</w:t>
      </w:r>
      <w:proofErr w:type="spellEnd"/>
      <w:r w:rsidRPr="00F10AE4">
        <w:t xml:space="preserve">, </w:t>
      </w:r>
      <w:proofErr w:type="spellStart"/>
      <w:r w:rsidRPr="00F10AE4">
        <w:t>Куженерском</w:t>
      </w:r>
      <w:proofErr w:type="spellEnd"/>
      <w:r w:rsidRPr="00F10AE4">
        <w:t xml:space="preserve">, </w:t>
      </w:r>
      <w:proofErr w:type="spellStart"/>
      <w:r w:rsidRPr="00F10AE4">
        <w:t>Моркинском</w:t>
      </w:r>
      <w:proofErr w:type="spellEnd"/>
      <w:r w:rsidRPr="00F10AE4">
        <w:t xml:space="preserve">, </w:t>
      </w:r>
      <w:proofErr w:type="spellStart"/>
      <w:r w:rsidRPr="00F10AE4">
        <w:t>Оршанском</w:t>
      </w:r>
      <w:proofErr w:type="spellEnd"/>
      <w:r w:rsidRPr="00F10AE4">
        <w:t xml:space="preserve">, </w:t>
      </w:r>
      <w:proofErr w:type="spellStart"/>
      <w:r w:rsidRPr="00F10AE4">
        <w:t>Параньгинском</w:t>
      </w:r>
      <w:proofErr w:type="spellEnd"/>
      <w:r w:rsidRPr="00F10AE4">
        <w:t xml:space="preserve"> и </w:t>
      </w:r>
      <w:proofErr w:type="spellStart"/>
      <w:r w:rsidRPr="00F10AE4">
        <w:t>Сернурском</w:t>
      </w:r>
      <w:proofErr w:type="spellEnd"/>
      <w:r w:rsidRPr="00F10AE4">
        <w:t xml:space="preserve"> районах.</w:t>
      </w:r>
    </w:p>
    <w:p w:rsidR="00BD7C30" w:rsidRPr="00F10AE4" w:rsidRDefault="00BD7C30" w:rsidP="00BD7C30">
      <w:pPr>
        <w:ind w:firstLine="708"/>
        <w:jc w:val="both"/>
      </w:pPr>
      <w:r w:rsidRPr="00F10AE4">
        <w:t>Охват профилактическими осмотрами лиц декретированных профессий составил 99,1 %, выявлено 5 случаев туберкулёза (в 2017 г. – 2 случая, 2016 г. – 9 случаев; в 2015 г. – 12 случаев).</w:t>
      </w:r>
    </w:p>
    <w:p w:rsidR="00BD7C30" w:rsidRPr="00F10AE4" w:rsidRDefault="00BD7C30" w:rsidP="00BD7C30">
      <w:pPr>
        <w:ind w:firstLine="709"/>
        <w:jc w:val="both"/>
      </w:pPr>
      <w:r w:rsidRPr="00F10AE4">
        <w:t xml:space="preserve">Охват </w:t>
      </w:r>
      <w:proofErr w:type="spellStart"/>
      <w:r w:rsidRPr="00F10AE4">
        <w:t>туберкулинодиагностикой</w:t>
      </w:r>
      <w:proofErr w:type="spellEnd"/>
      <w:r w:rsidRPr="00F10AE4">
        <w:t xml:space="preserve"> детей до 14 лет составил 96,8 % от плана (2017 г. – 94,1 %), подростков 15-17 лет – 78,0 %</w:t>
      </w:r>
      <w:r w:rsidRPr="00F10AE4">
        <w:rPr>
          <w:i/>
        </w:rPr>
        <w:t>.</w:t>
      </w:r>
      <w:r w:rsidRPr="00F10AE4">
        <w:t xml:space="preserve"> Не выполнение Плана </w:t>
      </w:r>
      <w:proofErr w:type="spellStart"/>
      <w:r w:rsidRPr="00F10AE4">
        <w:t>туберкулинодиагностики</w:t>
      </w:r>
      <w:proofErr w:type="spellEnd"/>
      <w:r w:rsidRPr="00F10AE4">
        <w:t xml:space="preserve"> среди детей до 14 лет отмечается в следующих районах: Волжском (95,5 %), </w:t>
      </w:r>
      <w:proofErr w:type="spellStart"/>
      <w:r w:rsidRPr="00F10AE4">
        <w:t>Оршанском</w:t>
      </w:r>
      <w:proofErr w:type="spellEnd"/>
      <w:r w:rsidRPr="00F10AE4">
        <w:t xml:space="preserve"> (93,9 %), Советском (95,4 %), </w:t>
      </w:r>
      <w:proofErr w:type="spellStart"/>
      <w:r w:rsidRPr="00F10AE4">
        <w:t>Юринском</w:t>
      </w:r>
      <w:proofErr w:type="spellEnd"/>
      <w:r w:rsidRPr="00F10AE4">
        <w:t xml:space="preserve"> (93,7 %) </w:t>
      </w:r>
      <w:proofErr w:type="gramStart"/>
      <w:r w:rsidRPr="00F10AE4">
        <w:t>районах</w:t>
      </w:r>
      <w:proofErr w:type="gramEnd"/>
      <w:r w:rsidRPr="00F10AE4">
        <w:t xml:space="preserve"> и г. Йошкар-Оле (93,5 %)</w:t>
      </w:r>
      <w:r w:rsidRPr="00F10AE4">
        <w:rPr>
          <w:i/>
        </w:rPr>
        <w:t>.</w:t>
      </w:r>
      <w:r w:rsidRPr="00F10AE4">
        <w:t xml:space="preserve"> Не выполнение Плана </w:t>
      </w:r>
      <w:proofErr w:type="spellStart"/>
      <w:r w:rsidRPr="00F10AE4">
        <w:t>туберкулинодиагностики</w:t>
      </w:r>
      <w:proofErr w:type="spellEnd"/>
      <w:r w:rsidRPr="00F10AE4">
        <w:t xml:space="preserve"> среди подростков отмечается в следующих районах: Волжском (60,6 %), </w:t>
      </w:r>
      <w:proofErr w:type="spellStart"/>
      <w:r w:rsidRPr="00F10AE4">
        <w:t>Звениговском</w:t>
      </w:r>
      <w:proofErr w:type="spellEnd"/>
      <w:r w:rsidRPr="00F10AE4">
        <w:t xml:space="preserve"> (74,7 %), </w:t>
      </w:r>
      <w:proofErr w:type="spellStart"/>
      <w:r w:rsidRPr="00F10AE4">
        <w:t>Куженерском</w:t>
      </w:r>
      <w:proofErr w:type="spellEnd"/>
      <w:r w:rsidRPr="00F10AE4">
        <w:t xml:space="preserve"> (44,7 %), </w:t>
      </w:r>
      <w:proofErr w:type="spellStart"/>
      <w:r w:rsidRPr="00F10AE4">
        <w:t>Моркинском</w:t>
      </w:r>
      <w:proofErr w:type="spellEnd"/>
      <w:r w:rsidRPr="00F10AE4">
        <w:t xml:space="preserve"> (66,0 %), </w:t>
      </w:r>
      <w:proofErr w:type="spellStart"/>
      <w:r w:rsidRPr="00F10AE4">
        <w:t>Новоторъяльском</w:t>
      </w:r>
      <w:proofErr w:type="spellEnd"/>
      <w:r w:rsidRPr="00F10AE4">
        <w:t xml:space="preserve"> (8,8 %) </w:t>
      </w:r>
      <w:proofErr w:type="gramStart"/>
      <w:r w:rsidRPr="00F10AE4">
        <w:t>районах</w:t>
      </w:r>
      <w:proofErr w:type="gramEnd"/>
      <w:r w:rsidRPr="00F10AE4">
        <w:t xml:space="preserve"> и г. Йошкар-Оле (75,0 %)</w:t>
      </w:r>
      <w:r w:rsidRPr="00F10AE4">
        <w:rPr>
          <w:i/>
        </w:rPr>
        <w:t xml:space="preserve">. </w:t>
      </w:r>
      <w:r w:rsidRPr="00F10AE4">
        <w:t xml:space="preserve">Дополнительную консультацию у фтизиатра, назначенную по результатам проведения </w:t>
      </w:r>
      <w:proofErr w:type="spellStart"/>
      <w:r w:rsidRPr="00F10AE4">
        <w:t>туберкулинодиагностики</w:t>
      </w:r>
      <w:proofErr w:type="spellEnd"/>
      <w:r w:rsidRPr="00F10AE4">
        <w:t xml:space="preserve">, получили 98,7% детей. </w:t>
      </w:r>
    </w:p>
    <w:p w:rsidR="00BD7C30" w:rsidRPr="00F10AE4" w:rsidRDefault="00BD7C30" w:rsidP="00BD7C30">
      <w:pPr>
        <w:ind w:firstLine="709"/>
        <w:jc w:val="both"/>
        <w:rPr>
          <w:bCs/>
        </w:rPr>
      </w:pPr>
      <w:r w:rsidRPr="00F10AE4">
        <w:t xml:space="preserve">План прививок против туберкулёза выполнен на 95,1%, новорожденных − 92,5% (2017 г. − 98,0 % от плана). Не выполнение плана прививок связано со снижением рождаемости. </w:t>
      </w:r>
    </w:p>
    <w:p w:rsidR="00BD7C30" w:rsidRPr="00F10AE4" w:rsidRDefault="00BD7C30" w:rsidP="00BD7C30">
      <w:pPr>
        <w:ind w:firstLine="709"/>
        <w:jc w:val="both"/>
        <w:rPr>
          <w:rFonts w:eastAsia="MS Mincho"/>
        </w:rPr>
      </w:pPr>
      <w:r w:rsidRPr="00F10AE4">
        <w:rPr>
          <w:rFonts w:eastAsia="MS Mincho"/>
        </w:rPr>
        <w:t>Требует особого внимания проведение в очагах туберкулёза заключительной дезинфекции. По информации медицинских организаций в 2018 г. охват очагов туберкулеза составил 100 % (</w:t>
      </w:r>
      <w:r w:rsidRPr="00F10AE4">
        <w:t>в 2017 г.</w:t>
      </w:r>
      <w:r w:rsidRPr="00F10AE4">
        <w:rPr>
          <w:rFonts w:eastAsia="MS Mincho"/>
        </w:rPr>
        <w:t>– 100 %), в том числе камерным способом – 100 % (</w:t>
      </w:r>
      <w:r w:rsidRPr="00F10AE4">
        <w:t xml:space="preserve">в 2017 г. </w:t>
      </w:r>
      <w:r w:rsidRPr="00F10AE4">
        <w:rPr>
          <w:rFonts w:eastAsia="MS Mincho"/>
        </w:rPr>
        <w:t xml:space="preserve">– 100,0 %). </w:t>
      </w:r>
    </w:p>
    <w:p w:rsidR="00BD7C30" w:rsidRPr="00F10AE4" w:rsidRDefault="00BD7C30" w:rsidP="00BD7C30">
      <w:pPr>
        <w:ind w:firstLine="709"/>
        <w:jc w:val="both"/>
      </w:pPr>
      <w:r w:rsidRPr="00F10AE4">
        <w:rPr>
          <w:rFonts w:eastAsia="MS Mincho"/>
        </w:rPr>
        <w:t>В тоже время, отмечается увеличение заболеваемости из числа контактных: заболеваемость контактных в очагах туберкулеза составила 369,7 на 100 тыс. контактных данной группы (8 больных, в т.ч. 1 случай профессионального заболевания), против 265, 3 в 2017 г. (5 больных).</w:t>
      </w:r>
    </w:p>
    <w:p w:rsidR="00BD7C30" w:rsidRPr="00F10AE4" w:rsidRDefault="00BD7C30" w:rsidP="00BD7C30">
      <w:pPr>
        <w:ind w:firstLine="567"/>
        <w:jc w:val="both"/>
      </w:pPr>
      <w:r w:rsidRPr="00F10AE4">
        <w:t>В 2018 г. в республике продолжалась реализация ст.10 №77-ФЗ. В соответствии с данной статьей на 10 больных заразными формами туберкулеза, неоднократно нарушающих санитарно-эпидемический режим, подготовлены и направлены материалы по привлечению к лечению через судебные органы. В настоящее время 3 получают лечение и 8 нарушают курс лечения, в связи с асоциальным образом жизни.</w:t>
      </w:r>
    </w:p>
    <w:p w:rsidR="00BD7C30" w:rsidRPr="00F10AE4" w:rsidRDefault="00BD7C30" w:rsidP="00BD7C30">
      <w:pPr>
        <w:ind w:firstLine="567"/>
        <w:jc w:val="both"/>
      </w:pPr>
      <w:r w:rsidRPr="00F10AE4">
        <w:t xml:space="preserve">В 2018 году дополнительная жилая площадь </w:t>
      </w:r>
      <w:proofErr w:type="gramStart"/>
      <w:r w:rsidRPr="00F10AE4">
        <w:t>нуждающимся</w:t>
      </w:r>
      <w:proofErr w:type="gramEnd"/>
      <w:r w:rsidRPr="00F10AE4">
        <w:t xml:space="preserve"> не предоставлялась; за счет собственных средств провели капитальный ремонт 2 больных с заразными формами туберкулеза. </w:t>
      </w:r>
    </w:p>
    <w:p w:rsidR="00BD7C30" w:rsidRDefault="00BD7C30" w:rsidP="00BD7C30">
      <w:pPr>
        <w:ind w:firstLine="709"/>
        <w:jc w:val="both"/>
      </w:pPr>
      <w:proofErr w:type="gramStart"/>
      <w:r w:rsidRPr="00F10AE4">
        <w:t xml:space="preserve">В рамках реализации Распоряжения Правительства Российской Федерации от 3 марта 2018 г. № 370-р в Республике Марий Эл в 2018 году приобретены 3 передвижных кабинета флюорографических с цифровым </w:t>
      </w:r>
      <w:proofErr w:type="spellStart"/>
      <w:r w:rsidRPr="00F10AE4">
        <w:t>флюорографом</w:t>
      </w:r>
      <w:proofErr w:type="spellEnd"/>
      <w:r w:rsidRPr="00F10AE4">
        <w:t xml:space="preserve"> и один передвижной медицинский комплекс с цифровым </w:t>
      </w:r>
      <w:proofErr w:type="spellStart"/>
      <w:r w:rsidRPr="00F10AE4">
        <w:t>флюорографом</w:t>
      </w:r>
      <w:proofErr w:type="spellEnd"/>
      <w:r w:rsidRPr="00F10AE4">
        <w:t xml:space="preserve"> и рентгеновским </w:t>
      </w:r>
      <w:proofErr w:type="spellStart"/>
      <w:r w:rsidRPr="00F10AE4">
        <w:t>маммографическим</w:t>
      </w:r>
      <w:proofErr w:type="spellEnd"/>
      <w:r w:rsidRPr="00F10AE4">
        <w:t xml:space="preserve"> цифровым аппаратом.</w:t>
      </w:r>
      <w:proofErr w:type="gramEnd"/>
    </w:p>
    <w:p w:rsidR="00BD7C30" w:rsidRDefault="00BD7C30"/>
    <w:sectPr w:rsidR="00BD7C30" w:rsidSect="00A4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7C30"/>
    <w:rsid w:val="00A44D11"/>
    <w:rsid w:val="00BD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7C30"/>
    <w:pPr>
      <w:jc w:val="center"/>
    </w:pPr>
    <w:rPr>
      <w:rFonts w:ascii="Calibri" w:eastAsia="Calibri" w:hAnsi="Calibri"/>
      <w:b/>
      <w:bCs/>
    </w:rPr>
  </w:style>
  <w:style w:type="character" w:customStyle="1" w:styleId="a4">
    <w:name w:val="Основной текст Знак"/>
    <w:basedOn w:val="a0"/>
    <w:link w:val="a3"/>
    <w:rsid w:val="00BD7C30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BD7C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D7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C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C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7302631578952882E-2"/>
          <c:y val="4.4117647058828389E-2"/>
          <c:w val="0.91610151277960794"/>
          <c:h val="0.8399084329002636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Республика Марий Эл</c:v>
                </c:pt>
              </c:strCache>
            </c:strRef>
          </c:tx>
          <c:spPr>
            <a:ln w="25416">
              <a:solidFill>
                <a:srgbClr val="FF00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FF0000"/>
              </a:solidFill>
              <a:ln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0"/>
              <c:layout>
                <c:manualLayout>
                  <c:x val="-3.1583919538330812E-2"/>
                  <c:y val="4.922466685233879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5000762001524563E-2"/>
                  <c:y val="-4.0849581302337304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2726272119211336E-2"/>
                  <c:y val="4.0938632670916533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233663533993872E-2"/>
                  <c:y val="-3.575771778527750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4741681483362973E-2"/>
                  <c:y val="-5.3325834270716424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7288798577597614E-2"/>
                  <c:y val="-4.1796650418698407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3.6008802615345836E-2"/>
                  <c:y val="-4.3203956418630972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3.3861823723647481E-2"/>
                  <c:y val="-4.4174478190226504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1.7163152992972761E-2"/>
                  <c:y val="-3.6396700412448454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2.2221149775633314E-2"/>
                  <c:y val="-4.2987439070117088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2.3360088053509438E-2"/>
                  <c:y val="-4.1456380452444097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1719638473268493E-2"/>
                  <c:y val="-3.8204742271657405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5.1813902294471414E-2"/>
                  <c:y val="2.7934945631796364E-2"/>
                </c:manualLayout>
              </c:layout>
              <c:dLblPos val="r"/>
              <c:showVal val="1"/>
            </c:dLbl>
            <c:dLbl>
              <c:idx val="13"/>
              <c:layout>
                <c:manualLayout>
                  <c:x val="-3.1482008297350011E-2"/>
                  <c:y val="4.0129671291088714E-2"/>
                </c:manualLayout>
              </c:layout>
              <c:dLblPos val="r"/>
              <c:showVal val="1"/>
            </c:dLbl>
            <c:dLbl>
              <c:idx val="14"/>
              <c:layout>
                <c:manualLayout>
                  <c:x val="-3.2268393870121426E-2"/>
                  <c:y val="-5.2103174603174603E-2"/>
                </c:manualLayout>
              </c:layout>
              <c:dLblPos val="r"/>
              <c:showVal val="1"/>
            </c:dLbl>
            <c:dLbl>
              <c:idx val="15"/>
              <c:layout>
                <c:manualLayout>
                  <c:x val="-8.6021505376345231E-3"/>
                  <c:y val="-3.9682539682540006E-2"/>
                </c:manualLayout>
              </c:layout>
              <c:dLblPos val="r"/>
              <c:showVal val="1"/>
            </c:dLbl>
            <c:numFmt formatCode="0.0" sourceLinked="0"/>
            <c:spPr>
              <a:noFill/>
              <a:ln w="2542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Narrow" panose="020B0606020202030204" pitchFamily="34" charset="0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Sheet1!$H$1:$W$1</c:f>
              <c:numCache>
                <c:formatCode>General</c:formatCode>
                <c:ptCount val="16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</c:numCache>
            </c:numRef>
          </c:cat>
          <c:val>
            <c:numRef>
              <c:f>Sheet1!$H$2:$W$2</c:f>
              <c:numCache>
                <c:formatCode>0.0</c:formatCode>
                <c:ptCount val="16"/>
                <c:pt idx="0">
                  <c:v>53.8</c:v>
                </c:pt>
                <c:pt idx="1">
                  <c:v>54.4</c:v>
                </c:pt>
                <c:pt idx="2">
                  <c:v>62.7</c:v>
                </c:pt>
                <c:pt idx="3">
                  <c:v>65.400000000000006</c:v>
                </c:pt>
                <c:pt idx="4">
                  <c:v>76.599999999999994</c:v>
                </c:pt>
                <c:pt idx="5">
                  <c:v>76.900000000000006</c:v>
                </c:pt>
                <c:pt idx="6">
                  <c:v>83.1</c:v>
                </c:pt>
                <c:pt idx="7">
                  <c:v>75.099999999999994</c:v>
                </c:pt>
                <c:pt idx="8">
                  <c:v>68.5</c:v>
                </c:pt>
                <c:pt idx="9">
                  <c:v>67.3</c:v>
                </c:pt>
                <c:pt idx="10">
                  <c:v>60</c:v>
                </c:pt>
                <c:pt idx="11">
                  <c:v>56.6</c:v>
                </c:pt>
                <c:pt idx="12">
                  <c:v>47.7</c:v>
                </c:pt>
                <c:pt idx="13">
                  <c:v>48.4</c:v>
                </c:pt>
                <c:pt idx="14" formatCode="General">
                  <c:v>50.5</c:v>
                </c:pt>
                <c:pt idx="15" formatCode="General">
                  <c:v>44.3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ln w="25420">
              <a:solidFill>
                <a:srgbClr val="0066FF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66FF"/>
              </a:solidFill>
              <a:ln>
                <a:noFill/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0"/>
              <c:layout>
                <c:manualLayout>
                  <c:x val="-3.6459788245371091E-2"/>
                  <c:y val="-4.498265691065440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3796615487685616E-2"/>
                  <c:y val="-4.4435442354271923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3173482346964697E-2"/>
                  <c:y val="-4.2728408948882135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3796445880452351E-2"/>
                  <c:y val="-4.270737861947323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3549403098806189E-2"/>
                  <c:y val="5.3608923884514506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6340022013377585E-2"/>
                  <c:y val="3.976221722284729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3.1009059351452033E-2"/>
                  <c:y val="4.2122547181602313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3.4302091270849211E-2"/>
                  <c:y val="4.1072990876141288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3.8224536449072914E-2"/>
                  <c:y val="3.822365954255718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3.9869443738887476E-2"/>
                  <c:y val="3.9859705036870814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3.923630513927738E-2"/>
                  <c:y val="4.1236095488063965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4.4060452120904522E-2"/>
                  <c:y val="4.5181539807524124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1.6604521209042777E-2"/>
                  <c:y val="-4.1031746031745982E-2"/>
                </c:manualLayout>
              </c:layout>
              <c:dLblPos val="r"/>
              <c:showVal val="1"/>
            </c:dLbl>
            <c:dLbl>
              <c:idx val="13"/>
              <c:layout>
                <c:manualLayout>
                  <c:x val="-3.2113114892896449E-2"/>
                  <c:y val="-3.6855705536808336E-2"/>
                </c:manualLayout>
              </c:layout>
              <c:dLblPos val="r"/>
              <c:showVal val="1"/>
            </c:dLbl>
            <c:dLbl>
              <c:idx val="14"/>
              <c:layout>
                <c:manualLayout>
                  <c:x val="-4.73199559732458E-2"/>
                  <c:y val="5.6385139357580334E-2"/>
                </c:manualLayout>
              </c:layout>
              <c:dLblPos val="r"/>
              <c:showVal val="1"/>
            </c:dLbl>
            <c:dLbl>
              <c:idx val="15"/>
              <c:layout>
                <c:manualLayout>
                  <c:x val="-1.0752688172043012E-2"/>
                  <c:y val="3.9682539682540006E-2"/>
                </c:manualLayout>
              </c:layout>
              <c:dLblPos val="r"/>
              <c:showVal val="1"/>
            </c:dLbl>
            <c:numFmt formatCode="0.0" sourceLinked="0"/>
            <c:spPr>
              <a:noFill/>
              <a:ln w="2542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Narrow" panose="020B0606020202030204" pitchFamily="34" charset="0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Sheet1!$H$1:$W$1</c:f>
              <c:numCache>
                <c:formatCode>General</c:formatCode>
                <c:ptCount val="16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</c:numCache>
            </c:numRef>
          </c:cat>
          <c:val>
            <c:numRef>
              <c:f>Sheet1!$H$3:$W$3</c:f>
              <c:numCache>
                <c:formatCode>0.0</c:formatCode>
                <c:ptCount val="16"/>
                <c:pt idx="0">
                  <c:v>69.599999999999994</c:v>
                </c:pt>
                <c:pt idx="1">
                  <c:v>71.7</c:v>
                </c:pt>
                <c:pt idx="2">
                  <c:v>70.5</c:v>
                </c:pt>
                <c:pt idx="3">
                  <c:v>70.599999999999994</c:v>
                </c:pt>
                <c:pt idx="4">
                  <c:v>74.099999999999994</c:v>
                </c:pt>
                <c:pt idx="5">
                  <c:v>75.8</c:v>
                </c:pt>
                <c:pt idx="6">
                  <c:v>74.3</c:v>
                </c:pt>
                <c:pt idx="7">
                  <c:v>70</c:v>
                </c:pt>
                <c:pt idx="8">
                  <c:v>66.7</c:v>
                </c:pt>
                <c:pt idx="9">
                  <c:v>62.8</c:v>
                </c:pt>
                <c:pt idx="10">
                  <c:v>58.44</c:v>
                </c:pt>
                <c:pt idx="11">
                  <c:v>54.56</c:v>
                </c:pt>
                <c:pt idx="12">
                  <c:v>53.24</c:v>
                </c:pt>
                <c:pt idx="13">
                  <c:v>49.7</c:v>
                </c:pt>
                <c:pt idx="14" formatCode="General">
                  <c:v>45.47</c:v>
                </c:pt>
                <c:pt idx="15" formatCode="General">
                  <c:v>41.96</c:v>
                </c:pt>
              </c:numCache>
            </c:numRef>
          </c:val>
        </c:ser>
        <c:marker val="1"/>
        <c:axId val="75584640"/>
        <c:axId val="75586176"/>
      </c:lineChart>
      <c:catAx>
        <c:axId val="75584640"/>
        <c:scaling>
          <c:orientation val="minMax"/>
        </c:scaling>
        <c:axPos val="b"/>
        <c:numFmt formatCode="General" sourceLinked="1"/>
        <c:tickLblPos val="nextTo"/>
        <c:spPr>
          <a:ln w="6354">
            <a:solidFill>
              <a:sysClr val="windowText" lastClr="000000">
                <a:lumMod val="75000"/>
                <a:lumOff val="25000"/>
              </a:sysClr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Arial"/>
                <a:cs typeface="Arial"/>
              </a:defRPr>
            </a:pPr>
            <a:endParaRPr lang="ru-RU"/>
          </a:p>
        </c:txPr>
        <c:crossAx val="75586176"/>
        <c:crosses val="autoZero"/>
        <c:auto val="1"/>
        <c:lblAlgn val="ctr"/>
        <c:lblOffset val="100"/>
        <c:tickLblSkip val="1"/>
        <c:tickMarkSkip val="1"/>
      </c:catAx>
      <c:valAx>
        <c:axId val="75586176"/>
        <c:scaling>
          <c:orientation val="minMax"/>
          <c:min val="30"/>
        </c:scaling>
        <c:axPos val="l"/>
        <c:majorGridlines>
          <c:spPr>
            <a:ln w="6349">
              <a:solidFill>
                <a:sysClr val="windowText" lastClr="000000">
                  <a:lumMod val="75000"/>
                  <a:lumOff val="25000"/>
                </a:sysClr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1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Показатель на 100 тыс. населения</a:t>
                </a:r>
              </a:p>
            </c:rich>
          </c:tx>
          <c:layout>
            <c:manualLayout>
              <c:xMode val="edge"/>
              <c:yMode val="edge"/>
              <c:x val="4.3010197495804824E-3"/>
              <c:y val="0.13778013944575945"/>
            </c:manualLayout>
          </c:layout>
          <c:spPr>
            <a:noFill/>
            <a:ln w="25420">
              <a:noFill/>
            </a:ln>
          </c:spPr>
        </c:title>
        <c:numFmt formatCode="0" sourceLinked="0"/>
        <c:tickLblPos val="nextTo"/>
        <c:spPr>
          <a:ln w="6354">
            <a:solidFill>
              <a:sysClr val="windowText" lastClr="000000">
                <a:lumMod val="75000"/>
                <a:lumOff val="25000"/>
              </a:sysClr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5584640"/>
        <c:crosses val="autoZero"/>
        <c:crossBetween val="between"/>
      </c:valAx>
      <c:spPr>
        <a:noFill/>
        <a:ln w="6349">
          <a:solidFill>
            <a:sysClr val="windowText" lastClr="000000">
              <a:lumMod val="75000"/>
              <a:lumOff val="25000"/>
            </a:sysClr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3037012176756619"/>
          <c:y val="0.58967360675007663"/>
          <c:w val="0.31578950991781796"/>
          <c:h val="0.16427418965267371"/>
        </c:manualLayout>
      </c:layout>
      <c:spPr>
        <a:solidFill>
          <a:srgbClr val="FFFFFF"/>
        </a:solidFill>
        <a:ln w="6354">
          <a:solidFill>
            <a:sysClr val="windowText" lastClr="000000">
              <a:lumMod val="75000"/>
              <a:lumOff val="25000"/>
            </a:sysClr>
          </a:solidFill>
          <a:prstDash val="solid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  <c:txPr>
        <a:bodyPr/>
        <a:lstStyle/>
        <a:p>
          <a:pPr>
            <a:defRPr sz="90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1467</Words>
  <Characters>8362</Characters>
  <Application>Microsoft Office Word</Application>
  <DocSecurity>0</DocSecurity>
  <Lines>69</Lines>
  <Paragraphs>19</Paragraphs>
  <ScaleCrop>false</ScaleCrop>
  <Company>MultiDVD Team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2019-03-14T06:25:00Z</dcterms:created>
  <dcterms:modified xsi:type="dcterms:W3CDTF">2019-03-14T06:26:00Z</dcterms:modified>
</cp:coreProperties>
</file>